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03C" w:rsidRPr="00D46E38" w:rsidRDefault="0049403C" w:rsidP="0049403C">
      <w:pPr>
        <w:spacing w:after="240" w:line="360" w:lineRule="auto"/>
        <w:ind w:right="680"/>
        <w:jc w:val="both"/>
        <w:rPr>
          <w:rFonts w:ascii="Times New Roman" w:eastAsia="Times New Roman" w:hAnsi="Times New Roman" w:cs="Times New Roman"/>
          <w:b/>
          <w:sz w:val="24"/>
          <w:szCs w:val="24"/>
        </w:rPr>
      </w:pPr>
      <w:r w:rsidRPr="00D46E38">
        <w:rPr>
          <w:rFonts w:ascii="Times New Roman" w:eastAsia="Times New Roman" w:hAnsi="Times New Roman" w:cs="Times New Roman"/>
          <w:b/>
          <w:sz w:val="24"/>
          <w:szCs w:val="24"/>
        </w:rPr>
        <w:t>Katılımcının Uyması Gereken Hususlar</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r w:rsidRPr="00D46E38">
        <w:rPr>
          <w:rFonts w:ascii="Times New Roman" w:eastAsia="Times New Roman" w:hAnsi="Times New Roman"/>
          <w:b/>
          <w:sz w:val="24"/>
          <w:szCs w:val="24"/>
          <w:lang w:eastAsia="tr-TR"/>
        </w:rPr>
        <w:t>MADDE 8/A</w:t>
      </w:r>
      <w:r w:rsidRPr="00D46E38">
        <w:rPr>
          <w:rFonts w:ascii="Times New Roman" w:eastAsia="Times New Roman" w:hAnsi="Times New Roman"/>
          <w:b/>
          <w:bCs/>
          <w:sz w:val="24"/>
          <w:szCs w:val="24"/>
          <w:lang w:eastAsia="tr-TR"/>
        </w:rPr>
        <w:t xml:space="preserve"> –</w:t>
      </w:r>
      <w:r w:rsidRPr="00D46E38">
        <w:rPr>
          <w:rFonts w:ascii="Times New Roman" w:eastAsia="Times New Roman" w:hAnsi="Times New Roman"/>
          <w:b/>
          <w:sz w:val="24"/>
          <w:szCs w:val="24"/>
          <w:lang w:eastAsia="tr-TR"/>
        </w:rPr>
        <w:t xml:space="preserve"> </w:t>
      </w:r>
      <w:r w:rsidRPr="00D46E38">
        <w:rPr>
          <w:rFonts w:ascii="Times New Roman" w:eastAsia="Times New Roman" w:hAnsi="Times New Roman"/>
          <w:sz w:val="24"/>
          <w:szCs w:val="24"/>
          <w:lang w:eastAsia="tr-TR"/>
        </w:rPr>
        <w:t>(1)</w:t>
      </w:r>
      <w:r w:rsidRPr="00CA5FD1">
        <w:rPr>
          <w:rFonts w:ascii="Times New Roman" w:eastAsia="Times New Roman" w:hAnsi="Times New Roman"/>
          <w:sz w:val="24"/>
          <w:szCs w:val="24"/>
          <w:lang w:eastAsia="tr-TR"/>
        </w:rPr>
        <w:t xml:space="preserve">  Katılımcı, stand alanında, kendisinin veya yazılı izni olmak kaydıyla aralarında ortaklık ilişkisi bulunan Türkiye’de yerleşik şirketin veya pazarlamacısı olduğu Türkiye’de yerleşik şirketin ticaret unvanı </w:t>
      </w:r>
      <w:proofErr w:type="gramStart"/>
      <w:r w:rsidRPr="00CA5FD1">
        <w:rPr>
          <w:rFonts w:ascii="Times New Roman" w:eastAsia="Times New Roman" w:hAnsi="Times New Roman"/>
          <w:sz w:val="24"/>
          <w:szCs w:val="24"/>
          <w:lang w:eastAsia="tr-TR"/>
        </w:rPr>
        <w:t>(</w:t>
      </w:r>
      <w:proofErr w:type="gramEnd"/>
      <w:r w:rsidRPr="00CA5FD1">
        <w:rPr>
          <w:rFonts w:ascii="Times New Roman" w:eastAsia="Times New Roman" w:hAnsi="Times New Roman"/>
          <w:sz w:val="24"/>
          <w:szCs w:val="24"/>
          <w:lang w:eastAsia="tr-TR"/>
        </w:rPr>
        <w:t>ticaret sicilinde tescil ve ilan edilmiş halindeki unvanın çekirdek kısmından en az bir sözcük veya bu sözcüğün yabancı dildeki tercümesi kullanılmalıdır. Buna ilaveten şirketin iştigal sahası, sektörü, üretim yöntemi veya şirketin nevini belirten yabancı dilde bir ibare de kullanılabilir.</w:t>
      </w:r>
      <w:proofErr w:type="gramStart"/>
      <w:r w:rsidRPr="00CA5FD1">
        <w:rPr>
          <w:rFonts w:ascii="Times New Roman" w:eastAsia="Times New Roman" w:hAnsi="Times New Roman"/>
          <w:sz w:val="24"/>
          <w:szCs w:val="24"/>
          <w:lang w:eastAsia="tr-TR"/>
        </w:rPr>
        <w:t>)</w:t>
      </w:r>
      <w:proofErr w:type="gramEnd"/>
      <w:r w:rsidRPr="00CA5FD1">
        <w:rPr>
          <w:rFonts w:ascii="Times New Roman" w:eastAsia="Times New Roman" w:hAnsi="Times New Roman"/>
          <w:sz w:val="24"/>
          <w:szCs w:val="24"/>
          <w:lang w:eastAsia="tr-TR"/>
        </w:rPr>
        <w:t xml:space="preserve"> veya tescilli markasından en az birisine yer vermek zorundadır.</w:t>
      </w:r>
    </w:p>
    <w:p w:rsidR="0049403C" w:rsidRPr="004D5077" w:rsidRDefault="0049403C" w:rsidP="0049403C">
      <w:pPr>
        <w:spacing w:before="120" w:after="120" w:line="240" w:lineRule="auto"/>
        <w:ind w:right="-1" w:firstLine="851"/>
        <w:jc w:val="both"/>
        <w:rPr>
          <w:rFonts w:ascii="Times New Roman" w:eastAsia="Times New Roman" w:hAnsi="Times New Roman"/>
          <w:b/>
          <w:color w:val="FF0000"/>
          <w:lang w:eastAsia="tr-TR"/>
        </w:rPr>
      </w:pPr>
      <w:r w:rsidRPr="00CA5FD1">
        <w:rPr>
          <w:rFonts w:ascii="Times New Roman" w:eastAsia="Times New Roman" w:hAnsi="Times New Roman"/>
          <w:b/>
          <w:lang w:eastAsia="tr-TR"/>
        </w:rPr>
        <w:t xml:space="preserve"> </w:t>
      </w:r>
      <w:r w:rsidRPr="00CA5FD1">
        <w:rPr>
          <w:rFonts w:ascii="Times New Roman" w:eastAsia="Times New Roman" w:hAnsi="Times New Roman"/>
          <w:lang w:eastAsia="tr-TR"/>
        </w:rPr>
        <w:t>(</w:t>
      </w:r>
      <w:r w:rsidRPr="00CA5FD1">
        <w:rPr>
          <w:rFonts w:ascii="Times New Roman" w:eastAsia="Times New Roman" w:hAnsi="Times New Roman"/>
          <w:sz w:val="24"/>
          <w:szCs w:val="24"/>
          <w:lang w:eastAsia="tr-TR"/>
        </w:rPr>
        <w:t xml:space="preserve">2) Özel üretim (private label), fason üretim gerçekleştiren şirketler, yerli ve yabancı şirketler veya zincir mağazaların unvan, marka ve </w:t>
      </w:r>
      <w:proofErr w:type="gramStart"/>
      <w:r w:rsidRPr="00CA5FD1">
        <w:rPr>
          <w:rFonts w:ascii="Times New Roman" w:eastAsia="Times New Roman" w:hAnsi="Times New Roman"/>
          <w:sz w:val="24"/>
          <w:szCs w:val="24"/>
          <w:lang w:eastAsia="tr-TR"/>
        </w:rPr>
        <w:t>logolarını</w:t>
      </w:r>
      <w:proofErr w:type="gramEnd"/>
      <w:r w:rsidRPr="00CA5FD1">
        <w:rPr>
          <w:rFonts w:ascii="Times New Roman" w:eastAsia="Times New Roman" w:hAnsi="Times New Roman"/>
          <w:sz w:val="24"/>
          <w:szCs w:val="24"/>
          <w:lang w:eastAsia="tr-TR"/>
        </w:rPr>
        <w:t>, söz konusu şirketler veya zincir mağazalar için üretim yaptıklarını tevsik etmek kaydıyla, kendi ticaret unvanları veya tescilli markaları ile beraber stand alanlarında kullanabilirler. Ancak, bu tür sergileme tarzı katılımcının geri planda kalarak diğer markaların ön plana çıkması anlamı taşımadan sadece üretim kapasitesi ve kalitesi açısından destekleyici unsur olarak kullanılabilir.</w:t>
      </w:r>
    </w:p>
    <w:p w:rsidR="0049403C" w:rsidRPr="00582FBD" w:rsidRDefault="0049403C" w:rsidP="0049403C">
      <w:pPr>
        <w:spacing w:after="240" w:line="360" w:lineRule="auto"/>
        <w:ind w:right="-1" w:firstLine="851"/>
        <w:jc w:val="both"/>
        <w:rPr>
          <w:rFonts w:ascii="Times New Roman" w:eastAsia="Times New Roman" w:hAnsi="Times New Roman"/>
          <w:sz w:val="24"/>
          <w:szCs w:val="24"/>
          <w:lang w:eastAsia="tr-TR"/>
        </w:rPr>
      </w:pPr>
      <w:r w:rsidRPr="00582FBD">
        <w:rPr>
          <w:rFonts w:ascii="Times New Roman" w:eastAsia="Times New Roman" w:hAnsi="Times New Roman"/>
          <w:sz w:val="24"/>
          <w:szCs w:val="24"/>
          <w:lang w:eastAsia="tr-TR"/>
        </w:rPr>
        <w:t xml:space="preserve"> (3) Katılımcı;</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r w:rsidRPr="00CA5FD1">
        <w:rPr>
          <w:rFonts w:ascii="Times New Roman" w:eastAsia="Times New Roman" w:hAnsi="Times New Roman"/>
          <w:sz w:val="24"/>
          <w:szCs w:val="24"/>
          <w:lang w:eastAsia="tr-TR"/>
        </w:rPr>
        <w:t>a) Fuarın ilk günü standını açmak zorundadır.</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r w:rsidRPr="00CA5FD1">
        <w:rPr>
          <w:rFonts w:ascii="Times New Roman" w:eastAsia="Times New Roman" w:hAnsi="Times New Roman"/>
          <w:sz w:val="24"/>
          <w:szCs w:val="24"/>
          <w:lang w:eastAsia="tr-TR"/>
        </w:rPr>
        <w:t>b) Fuar sona ermeden ürünlerini toplamak suretiyle standını boşaltamaz veya görevli personelini fuardan çekemez.</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r w:rsidRPr="00CA5FD1">
        <w:rPr>
          <w:rFonts w:ascii="Times New Roman" w:eastAsia="Times New Roman" w:hAnsi="Times New Roman"/>
          <w:sz w:val="24"/>
          <w:szCs w:val="24"/>
          <w:lang w:eastAsia="tr-TR"/>
        </w:rPr>
        <w:t>c) Stand alanı içinde, bu maddenin 1. ve 2. fıkralarında belirtilenler dışında başka bir firmanın unvanı, tescilli markası veya logosuna yer veremez.</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r w:rsidRPr="00CA5FD1">
        <w:rPr>
          <w:rFonts w:ascii="Times New Roman" w:eastAsia="Times New Roman" w:hAnsi="Times New Roman"/>
          <w:sz w:val="24"/>
          <w:szCs w:val="24"/>
          <w:lang w:eastAsia="tr-TR"/>
        </w:rPr>
        <w:t>ç) Kendi ürünleri veya pazarlamasını yaptığı Türkiye’de üretilen ürünler dışında farklı şirketlere ait ürünleri sergileyemez. Ancak, başka mamullerin üretiminde girdi olarak kullanılan kendi ürünlerini tanıtmak amacıyla, söz konusu nihai mamulleri sergileyebilir.</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r w:rsidRPr="00CA5FD1">
        <w:rPr>
          <w:rFonts w:ascii="Times New Roman" w:eastAsia="Times New Roman" w:hAnsi="Times New Roman"/>
          <w:sz w:val="24"/>
          <w:szCs w:val="24"/>
          <w:lang w:eastAsia="tr-TR"/>
        </w:rPr>
        <w:t xml:space="preserve">d) Fuar süresince gösterdiği pazarlama yaklaşımı ile ticari imajımızı ve ülkemiz itibarını zedeleyemez. </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r w:rsidRPr="00CA5FD1">
        <w:rPr>
          <w:rFonts w:ascii="Times New Roman" w:eastAsia="Times New Roman" w:hAnsi="Times New Roman"/>
          <w:sz w:val="24"/>
          <w:szCs w:val="24"/>
          <w:lang w:eastAsia="tr-TR"/>
        </w:rPr>
        <w:t xml:space="preserve">(4) Bu madde kapsamındaki yükümlülüklerini yerine getirmeyen katılımcının destek müracaatı değerlendirmeye alınmaz. </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r w:rsidRPr="00CA5FD1">
        <w:rPr>
          <w:rFonts w:ascii="Times New Roman" w:eastAsia="Times New Roman" w:hAnsi="Times New Roman"/>
          <w:sz w:val="24"/>
          <w:szCs w:val="24"/>
          <w:lang w:eastAsia="tr-TR"/>
        </w:rPr>
        <w:t>(5) Katılımcı başvuru evrakları arasında sayılan geçerli Kapasite Raporu veya Faaliyet Belgesi, Ticaret Sicil Gazetesi, Marka Tescil Belgesini İhracatçı Birliklerine elektronik ortamda tanıtır ve firma kaydını yaptırır. Bu belgeler, geçerlilik süreleri içinde tekrar istenmez.</w:t>
      </w:r>
    </w:p>
    <w:p w:rsidR="0049403C" w:rsidRPr="00CA5FD1" w:rsidRDefault="0049403C" w:rsidP="0049403C">
      <w:pPr>
        <w:tabs>
          <w:tab w:val="left" w:pos="290"/>
        </w:tabs>
        <w:spacing w:before="120" w:after="120" w:line="240" w:lineRule="auto"/>
        <w:ind w:right="-1" w:firstLine="851"/>
        <w:jc w:val="both"/>
        <w:rPr>
          <w:rFonts w:ascii="Times New Roman" w:hAnsi="Times New Roman"/>
          <w:sz w:val="24"/>
          <w:szCs w:val="24"/>
        </w:rPr>
      </w:pPr>
      <w:r w:rsidRPr="00CA5FD1">
        <w:rPr>
          <w:rFonts w:ascii="Times New Roman" w:hAnsi="Times New Roman"/>
          <w:sz w:val="24"/>
          <w:szCs w:val="24"/>
        </w:rPr>
        <w:t xml:space="preserve">(6) </w:t>
      </w:r>
      <w:r w:rsidRPr="00CA5FD1">
        <w:rPr>
          <w:rFonts w:ascii="Times New Roman" w:hAnsi="Times New Roman"/>
          <w:sz w:val="24"/>
          <w:szCs w:val="24"/>
        </w:rPr>
        <w:tab/>
        <w:t>Kamu Kurum ve Kuruluşlarının resmi internet sitelerinden veya DİR otomasyon üzerinden erişime açık olan belgelerin ibraz edilmesine gerek bulunmamaktadır.</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r w:rsidRPr="00CA5FD1">
        <w:rPr>
          <w:rFonts w:ascii="Times New Roman" w:eastAsia="Times New Roman" w:hAnsi="Times New Roman"/>
          <w:sz w:val="24"/>
          <w:szCs w:val="24"/>
          <w:lang w:eastAsia="tr-TR"/>
        </w:rPr>
        <w:t>(7) SDŞ ve pazarlamacı katılımcıların, fuara iştirak etmeleri halinde katılım belgeleri kendi adlarına düzenlenir.</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r w:rsidRPr="00CA5FD1">
        <w:rPr>
          <w:rFonts w:ascii="Times New Roman" w:eastAsia="Times New Roman" w:hAnsi="Times New Roman"/>
          <w:sz w:val="24"/>
          <w:szCs w:val="24"/>
          <w:lang w:eastAsia="tr-TR"/>
        </w:rPr>
        <w:t xml:space="preserve">(8) </w:t>
      </w:r>
      <w:r w:rsidRPr="00CA5FD1">
        <w:rPr>
          <w:rFonts w:ascii="Times New Roman" w:eastAsia="Times New Roman" w:hAnsi="Times New Roman"/>
          <w:sz w:val="24"/>
          <w:szCs w:val="24"/>
          <w:lang w:eastAsia="tr-TR"/>
        </w:rPr>
        <w:tab/>
        <w:t>a) İmalatçının veya üreticinin, destek müracaat tarihi itibariyle geçerli olan kapasite raporunun/</w:t>
      </w:r>
      <w:proofErr w:type="gramStart"/>
      <w:r w:rsidRPr="00CA5FD1">
        <w:rPr>
          <w:rFonts w:ascii="Times New Roman" w:eastAsia="Times New Roman" w:hAnsi="Times New Roman"/>
          <w:sz w:val="24"/>
          <w:szCs w:val="24"/>
          <w:lang w:eastAsia="tr-TR"/>
        </w:rPr>
        <w:t>ekspertiz</w:t>
      </w:r>
      <w:proofErr w:type="gramEnd"/>
      <w:r w:rsidRPr="00CA5FD1">
        <w:rPr>
          <w:rFonts w:ascii="Times New Roman" w:eastAsia="Times New Roman" w:hAnsi="Times New Roman"/>
          <w:sz w:val="24"/>
          <w:szCs w:val="24"/>
          <w:lang w:eastAsia="tr-TR"/>
        </w:rPr>
        <w:t xml:space="preserve"> raporunun/faaliyet belgesinin aslı veya bir örneğini,</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r w:rsidRPr="00CA5FD1">
        <w:rPr>
          <w:rFonts w:ascii="Times New Roman" w:eastAsia="Times New Roman" w:hAnsi="Times New Roman"/>
          <w:sz w:val="24"/>
          <w:szCs w:val="24"/>
          <w:lang w:eastAsia="tr-TR"/>
        </w:rPr>
        <w:t>b) Tanıtımını yapacağı şirket, kurum ve kuruluşların kapasite raporunun aslı veya bir örneğini,</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proofErr w:type="gramStart"/>
      <w:r w:rsidRPr="00CA5FD1">
        <w:rPr>
          <w:rFonts w:ascii="Times New Roman" w:eastAsia="Times New Roman" w:hAnsi="Times New Roman"/>
          <w:sz w:val="24"/>
          <w:szCs w:val="24"/>
          <w:lang w:eastAsia="tr-TR"/>
        </w:rPr>
        <w:t>ibraz</w:t>
      </w:r>
      <w:proofErr w:type="gramEnd"/>
      <w:r w:rsidRPr="00CA5FD1">
        <w:rPr>
          <w:rFonts w:ascii="Times New Roman" w:eastAsia="Times New Roman" w:hAnsi="Times New Roman"/>
          <w:sz w:val="24"/>
          <w:szCs w:val="24"/>
          <w:lang w:eastAsia="tr-TR"/>
        </w:rPr>
        <w:t xml:space="preserve"> eder.</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r w:rsidRPr="00CA5FD1">
        <w:rPr>
          <w:rFonts w:ascii="Times New Roman" w:eastAsia="Times New Roman" w:hAnsi="Times New Roman"/>
          <w:sz w:val="24"/>
          <w:szCs w:val="24"/>
          <w:lang w:eastAsia="tr-TR"/>
        </w:rPr>
        <w:t>(9) Pazarlama sözleşmesinin tarihinin ilgili fuardan önceki bir tarih olması gereklidir.</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r w:rsidRPr="00CA5FD1">
        <w:rPr>
          <w:rFonts w:ascii="Times New Roman" w:eastAsia="Times New Roman" w:hAnsi="Times New Roman"/>
          <w:sz w:val="24"/>
          <w:szCs w:val="24"/>
          <w:lang w:eastAsia="tr-TR"/>
        </w:rPr>
        <w:lastRenderedPageBreak/>
        <w:t>(10)</w:t>
      </w:r>
      <w:r w:rsidRPr="00CA5FD1">
        <w:rPr>
          <w:rFonts w:ascii="Times New Roman" w:eastAsia="Times New Roman" w:hAnsi="Times New Roman"/>
          <w:i/>
          <w:sz w:val="24"/>
          <w:szCs w:val="24"/>
          <w:lang w:eastAsia="tr-TR"/>
        </w:rPr>
        <w:t xml:space="preserve"> </w:t>
      </w:r>
      <w:r w:rsidRPr="00CA5FD1">
        <w:rPr>
          <w:rFonts w:ascii="Times New Roman" w:eastAsia="Times New Roman" w:hAnsi="Times New Roman"/>
          <w:sz w:val="24"/>
          <w:szCs w:val="24"/>
          <w:lang w:eastAsia="tr-TR"/>
        </w:rPr>
        <w:t>Pazarlamacı katılımcı, katılım sağladığı fuarda, sözleşme yaptığı şirketin ürünlerini sergileyebilir / tanıtabilir.</w:t>
      </w:r>
    </w:p>
    <w:p w:rsidR="0049403C" w:rsidRPr="00CA5FD1" w:rsidRDefault="0049403C" w:rsidP="0049403C">
      <w:pPr>
        <w:spacing w:before="120" w:after="120" w:line="240" w:lineRule="auto"/>
        <w:ind w:right="-1" w:firstLine="851"/>
        <w:jc w:val="both"/>
        <w:rPr>
          <w:rFonts w:ascii="Times New Roman" w:eastAsia="Times New Roman" w:hAnsi="Times New Roman"/>
          <w:sz w:val="24"/>
          <w:szCs w:val="24"/>
          <w:lang w:eastAsia="tr-TR"/>
        </w:rPr>
      </w:pPr>
      <w:r w:rsidRPr="00CA5FD1">
        <w:rPr>
          <w:rFonts w:ascii="Times New Roman" w:eastAsia="Times New Roman" w:hAnsi="Times New Roman"/>
          <w:sz w:val="24"/>
          <w:szCs w:val="24"/>
          <w:lang w:eastAsia="tr-TR"/>
        </w:rPr>
        <w:t>(11) İmalatçı veya üretici şirket ile pazarlamacı şirketin bir fuara ayrı standlarda katılmaları durumunda, aynı kapasite raporunda/faaliyet belgesinde yer alan aynı ürünlerin sergilenmesi halinde, iki şirketin birden destekten yararlanması imkânı bulunmamaktadır. İki şirket arasında, fuar tarihinden önce yapılmış bir pazarlama sözleşmesi mevcut ise pazarlamacı statüsündeki şirket; mevcut değil ise imalatçı veya üretici şirket destekten yararlandırılır.</w:t>
      </w:r>
    </w:p>
    <w:p w:rsidR="00AC5B6F" w:rsidRDefault="00AC5B6F">
      <w:bookmarkStart w:id="0" w:name="_GoBack"/>
      <w:bookmarkEnd w:id="0"/>
    </w:p>
    <w:sectPr w:rsidR="00AC5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3C"/>
    <w:rsid w:val="0049403C"/>
    <w:rsid w:val="00AC5B6F"/>
    <w:rsid w:val="00F362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C2EA4-A838-4871-96BD-621674A6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03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CEBRE</dc:creator>
  <cp:keywords/>
  <dc:description/>
  <cp:lastModifiedBy>Burhan CEBRE</cp:lastModifiedBy>
  <cp:revision>1</cp:revision>
  <dcterms:created xsi:type="dcterms:W3CDTF">2017-02-14T12:48:00Z</dcterms:created>
  <dcterms:modified xsi:type="dcterms:W3CDTF">2017-02-14T12:50:00Z</dcterms:modified>
</cp:coreProperties>
</file>